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Ansvarstagande ekonomi i Danderyd – bibehåll låg skatt och prioritera välfärd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har en av Sveriges lägsta kommunalskatter (18,25 kr) och total skattesats runt 30,58 %. Budget 2026 visar positivt resultat enligt balanskravet (8,7 mnkr), ekonomisk reserv på 15 mnkr och satsningar på barn och ungas välmående (11 mnkr) utan skattehöjningar. Detta är ett styrkebesked.</w:t>
      </w:r>
    </w:p>
    <w:p>
      <w:pPr>
        <w:spacing w:after="100"/>
      </w:pPr>
      <w:r>
        <w:t xml:space="preserve">Samtidigt kräver den osäkra omvärlden (ekonomi, trygghet) fortsatt disciplin. Moderaterna vill att Danderyd fortsätter vara ett föredöme för ansvarstagande: låg skatt, effektiv verksamhet, prioritering av kärnverksamhet (skola, omsorg) och undvikande av onödig byråkrati eller slöseri.</w:t>
      </w:r>
    </w:p>
    <w:p>
      <w:pPr>
        <w:spacing w:after="100"/>
      </w:pPr>
      <w:r>
        <w:t xml:space="preserve">En robust ekonomi ger utrymme för riktade satsningar och investeringar i infrastruktur och välfärd. Det är också en viktig signal till invånare och företag.</w:t>
      </w:r>
    </w:p>
    <w:p>
      <w:pPr>
        <w:spacing w:after="100"/>
      </w:pPr>
      <w:r>
        <w:t xml:space="preserve">Källor: danderyd.se budget 2026 och årsredovisningar, SCB/Kolada.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kommunalskatten bibehålls oförändrad eller sänks om ekonomin tillåter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kärnverksamheterna skola, äldreomsorg och infrastruktur i budgetarbetet och undvika kostnadsökningar utan motsvarande nytta.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regelbundet granska effektiviteten i kommunens verksamhet och redovisa besparings- och effektiviseringsförslag.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upprätthålla en stark ekonomisk reserv för oförutsedda händelser.</w:t>
      </w:r>
    </w:p>
    <w:p>
      <w:pPr>
        <w:spacing w:before="360"/>
      </w:pPr>
    </w:p>
    <w:p>
      <w:r>
        <w:t xml:space="preserve">Danderyd,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2026-06-06T01:48:20.579Z</dcterms:created>
  <dcterms:modified xsi:type="dcterms:W3CDTF">2026-06-06T01:48:20.579Z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